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35997" w14:textId="22C91626" w:rsidR="004578D3" w:rsidRDefault="004578D3" w:rsidP="00B341AF">
      <w:pPr>
        <w:jc w:val="center"/>
        <w:rPr>
          <w:b/>
          <w:bCs/>
          <w:sz w:val="24"/>
          <w:szCs w:val="24"/>
        </w:rPr>
      </w:pPr>
      <w:r>
        <w:rPr>
          <w:b/>
          <w:bCs/>
          <w:noProof/>
          <w:sz w:val="24"/>
          <w:szCs w:val="24"/>
        </w:rPr>
        <w:drawing>
          <wp:inline distT="0" distB="0" distL="0" distR="0" wp14:anchorId="0C7C2028" wp14:editId="176458AA">
            <wp:extent cx="2566421" cy="557785"/>
            <wp:effectExtent l="0" t="0" r="5715" b="0"/>
            <wp:docPr id="1580005505" name="Immagine 1" descr="Immagine che contiene Elementi grafici, Carattere, grafica, verd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005505" name="Immagine 1" descr="Immagine che contiene Elementi grafici, Carattere, grafica, verde&#10;&#10;Il contenuto generato dall'IA potrebbe non essere corretto."/>
                    <pic:cNvPicPr/>
                  </pic:nvPicPr>
                  <pic:blipFill>
                    <a:blip r:embed="rId4" cstate="print">
                      <a:extLst>
                        <a:ext uri="{28A0092B-C50C-407E-A947-70E740481C1C}">
                          <a14:useLocalDpi xmlns:a14="http://schemas.microsoft.com/office/drawing/2010/main" val="0"/>
                        </a:ext>
                      </a:extLst>
                    </a:blip>
                    <a:stretch>
                      <a:fillRect/>
                    </a:stretch>
                  </pic:blipFill>
                  <pic:spPr>
                    <a:xfrm>
                      <a:off x="0" y="0"/>
                      <a:ext cx="2566421" cy="557785"/>
                    </a:xfrm>
                    <a:prstGeom prst="rect">
                      <a:avLst/>
                    </a:prstGeom>
                  </pic:spPr>
                </pic:pic>
              </a:graphicData>
            </a:graphic>
          </wp:inline>
        </w:drawing>
      </w:r>
      <w:r>
        <w:rPr>
          <w:b/>
          <w:bCs/>
          <w:sz w:val="24"/>
          <w:szCs w:val="24"/>
        </w:rPr>
        <w:t xml:space="preserve">                         </w:t>
      </w:r>
      <w:r>
        <w:rPr>
          <w:b/>
          <w:bCs/>
          <w:noProof/>
          <w:sz w:val="24"/>
          <w:szCs w:val="24"/>
        </w:rPr>
        <w:drawing>
          <wp:inline distT="0" distB="0" distL="0" distR="0" wp14:anchorId="16383163" wp14:editId="577D4C1A">
            <wp:extent cx="2390902" cy="895782"/>
            <wp:effectExtent l="0" t="0" r="0" b="0"/>
            <wp:docPr id="359482244" name="Immagine 2" descr="Immagine che contiene testo, Carattere, Elementi grafici, grafic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482244" name="Immagine 2" descr="Immagine che contiene testo, Carattere, Elementi grafici, grafica&#10;&#10;Il contenuto generato dall'IA potrebbe non essere corretto."/>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04865" cy="901014"/>
                    </a:xfrm>
                    <a:prstGeom prst="rect">
                      <a:avLst/>
                    </a:prstGeom>
                  </pic:spPr>
                </pic:pic>
              </a:graphicData>
            </a:graphic>
          </wp:inline>
        </w:drawing>
      </w:r>
    </w:p>
    <w:p w14:paraId="61750EEC" w14:textId="77777777" w:rsidR="004578D3" w:rsidRDefault="004578D3" w:rsidP="00B341AF">
      <w:pPr>
        <w:jc w:val="center"/>
        <w:rPr>
          <w:b/>
          <w:bCs/>
          <w:sz w:val="24"/>
          <w:szCs w:val="24"/>
        </w:rPr>
      </w:pPr>
    </w:p>
    <w:p w14:paraId="7E54272E" w14:textId="73C8BC5E" w:rsidR="00FC6563" w:rsidRPr="0090078E" w:rsidRDefault="0090078E" w:rsidP="00B341AF">
      <w:pPr>
        <w:jc w:val="center"/>
        <w:rPr>
          <w:b/>
          <w:bCs/>
          <w:sz w:val="24"/>
          <w:szCs w:val="24"/>
        </w:rPr>
      </w:pPr>
      <w:r w:rsidRPr="0090078E">
        <w:rPr>
          <w:b/>
          <w:bCs/>
          <w:sz w:val="24"/>
          <w:szCs w:val="24"/>
        </w:rPr>
        <w:t>Food&amp;Science Festival Lab Alessandria 2026, un’edizione</w:t>
      </w:r>
      <w:r>
        <w:rPr>
          <w:b/>
          <w:bCs/>
          <w:sz w:val="24"/>
          <w:szCs w:val="24"/>
        </w:rPr>
        <w:t xml:space="preserve"> da record </w:t>
      </w:r>
    </w:p>
    <w:p w14:paraId="1EBDCD96" w14:textId="77777777" w:rsidR="004728EE" w:rsidRPr="0090078E" w:rsidRDefault="004728EE">
      <w:pPr>
        <w:rPr>
          <w:sz w:val="24"/>
          <w:szCs w:val="24"/>
        </w:rPr>
      </w:pPr>
    </w:p>
    <w:p w14:paraId="6A16DAF3" w14:textId="27C842D8" w:rsidR="004728EE" w:rsidRDefault="004728EE" w:rsidP="00B341AF">
      <w:pPr>
        <w:jc w:val="both"/>
        <w:rPr>
          <w:sz w:val="24"/>
          <w:szCs w:val="24"/>
        </w:rPr>
      </w:pPr>
      <w:r>
        <w:rPr>
          <w:sz w:val="24"/>
          <w:szCs w:val="24"/>
        </w:rPr>
        <w:t>Si è conclus</w:t>
      </w:r>
      <w:r w:rsidR="00501BE3">
        <w:rPr>
          <w:sz w:val="24"/>
          <w:szCs w:val="24"/>
        </w:rPr>
        <w:t>a</w:t>
      </w:r>
      <w:r w:rsidR="0090078E">
        <w:rPr>
          <w:sz w:val="24"/>
          <w:szCs w:val="24"/>
        </w:rPr>
        <w:t xml:space="preserve"> venerdì 23 ottobre ad</w:t>
      </w:r>
      <w:r>
        <w:rPr>
          <w:sz w:val="24"/>
          <w:szCs w:val="24"/>
        </w:rPr>
        <w:t xml:space="preserve"> Alessandria, la </w:t>
      </w:r>
      <w:r w:rsidR="0090078E">
        <w:rPr>
          <w:sz w:val="24"/>
          <w:szCs w:val="24"/>
        </w:rPr>
        <w:t>terza</w:t>
      </w:r>
      <w:r>
        <w:rPr>
          <w:sz w:val="24"/>
          <w:szCs w:val="24"/>
        </w:rPr>
        <w:t xml:space="preserve"> edizione del Food&amp;Science Festival Lab Alessandria</w:t>
      </w:r>
      <w:r w:rsidR="0090078E">
        <w:rPr>
          <w:sz w:val="24"/>
          <w:szCs w:val="24"/>
        </w:rPr>
        <w:t>, il format nato come spin off del Food&amp;Science Festival di Mantova per parlare ad un pubblico ambio di scienze, cibo, agricoltura e innovazione</w:t>
      </w:r>
      <w:r>
        <w:rPr>
          <w:sz w:val="24"/>
          <w:szCs w:val="24"/>
        </w:rPr>
        <w:t xml:space="preserve">. </w:t>
      </w:r>
    </w:p>
    <w:p w14:paraId="5961EA34" w14:textId="77777777" w:rsidR="004728EE" w:rsidRDefault="004728EE" w:rsidP="00B341AF">
      <w:pPr>
        <w:jc w:val="both"/>
        <w:rPr>
          <w:sz w:val="24"/>
          <w:szCs w:val="24"/>
        </w:rPr>
      </w:pPr>
    </w:p>
    <w:p w14:paraId="005C39F3" w14:textId="48E07ECC" w:rsidR="0090078E" w:rsidRDefault="0090078E" w:rsidP="00B341AF">
      <w:pPr>
        <w:jc w:val="both"/>
        <w:rPr>
          <w:sz w:val="24"/>
          <w:szCs w:val="24"/>
        </w:rPr>
      </w:pPr>
      <w:r>
        <w:rPr>
          <w:sz w:val="24"/>
          <w:szCs w:val="24"/>
        </w:rPr>
        <w:t xml:space="preserve">“Il crescente interesse che abbiamo riscontrato per i temi affrontati durante questa terza edizione, sia a livello di coinvolgimento di pubblico, comprese le scuole, sia di partner – dichiara </w:t>
      </w:r>
      <w:r w:rsidRPr="002F3BF2">
        <w:rPr>
          <w:b/>
          <w:bCs/>
          <w:sz w:val="24"/>
          <w:szCs w:val="24"/>
        </w:rPr>
        <w:t>Paola Sacco</w:t>
      </w:r>
      <w:r>
        <w:rPr>
          <w:sz w:val="24"/>
          <w:szCs w:val="24"/>
        </w:rPr>
        <w:t>, presidente di Confagricoltura Alessandria – ci indica che siamo nella giusta direzione. Senza innovazione, ricerca scientifica e pratiche moderne nella produzione del cibo, la sostenibilità, ecologica ed economica, diventerebbe un mito irrealizzabile: un punto di partenza di cui i</w:t>
      </w:r>
      <w:r w:rsidR="002F3BF2">
        <w:rPr>
          <w:sz w:val="24"/>
          <w:szCs w:val="24"/>
        </w:rPr>
        <w:t xml:space="preserve">l </w:t>
      </w:r>
      <w:r>
        <w:rPr>
          <w:sz w:val="24"/>
          <w:szCs w:val="24"/>
        </w:rPr>
        <w:t xml:space="preserve">consumatore deve essere parte attiva e consapevole”. </w:t>
      </w:r>
    </w:p>
    <w:p w14:paraId="40AD3CC1" w14:textId="77777777" w:rsidR="0090078E" w:rsidRDefault="0090078E" w:rsidP="00B341AF">
      <w:pPr>
        <w:jc w:val="both"/>
        <w:rPr>
          <w:sz w:val="24"/>
          <w:szCs w:val="24"/>
        </w:rPr>
      </w:pPr>
    </w:p>
    <w:p w14:paraId="3A4DD765" w14:textId="50A8DFCF" w:rsidR="0090078E" w:rsidRDefault="0090078E" w:rsidP="00972333">
      <w:pPr>
        <w:jc w:val="both"/>
        <w:rPr>
          <w:sz w:val="24"/>
          <w:szCs w:val="24"/>
        </w:rPr>
      </w:pPr>
      <w:r>
        <w:rPr>
          <w:sz w:val="24"/>
          <w:szCs w:val="24"/>
        </w:rPr>
        <w:t xml:space="preserve">Prima della tappa alessandrina, il </w:t>
      </w:r>
      <w:r>
        <w:rPr>
          <w:sz w:val="24"/>
          <w:szCs w:val="24"/>
        </w:rPr>
        <w:t>Food&amp;Science Festival Lab Alessandria</w:t>
      </w:r>
      <w:r>
        <w:rPr>
          <w:sz w:val="24"/>
          <w:szCs w:val="24"/>
        </w:rPr>
        <w:t xml:space="preserve"> ha toccato le città di Tortona, Casale Monferrato, Ovada. </w:t>
      </w:r>
      <w:r w:rsidR="00972333" w:rsidRPr="002F3BF2">
        <w:rPr>
          <w:sz w:val="24"/>
          <w:szCs w:val="24"/>
          <w:u w:val="single"/>
        </w:rPr>
        <w:t>I numeri</w:t>
      </w:r>
      <w:r w:rsidR="00972333">
        <w:rPr>
          <w:sz w:val="24"/>
          <w:szCs w:val="24"/>
        </w:rPr>
        <w:t xml:space="preserve">: </w:t>
      </w:r>
      <w:r w:rsidR="00972333" w:rsidRPr="00972333">
        <w:rPr>
          <w:sz w:val="24"/>
          <w:szCs w:val="24"/>
        </w:rPr>
        <w:t>18 laboratori per studenti delle scuole primarie e secondarie di primo grado e per le scuole secondarie di secondo</w:t>
      </w:r>
      <w:r w:rsidR="00972333">
        <w:rPr>
          <w:sz w:val="24"/>
          <w:szCs w:val="24"/>
        </w:rPr>
        <w:t xml:space="preserve">; </w:t>
      </w:r>
      <w:r w:rsidR="00972333" w:rsidRPr="00972333">
        <w:rPr>
          <w:sz w:val="24"/>
          <w:szCs w:val="24"/>
        </w:rPr>
        <w:t>3 incontri per gli studenti delle scuole secondarie di secondo grado</w:t>
      </w:r>
      <w:r w:rsidR="00972333">
        <w:rPr>
          <w:sz w:val="24"/>
          <w:szCs w:val="24"/>
        </w:rPr>
        <w:t xml:space="preserve">; </w:t>
      </w:r>
      <w:r w:rsidR="00972333" w:rsidRPr="00972333">
        <w:rPr>
          <w:sz w:val="24"/>
          <w:szCs w:val="24"/>
        </w:rPr>
        <w:t xml:space="preserve">2 talk </w:t>
      </w:r>
      <w:r w:rsidR="00972333">
        <w:rPr>
          <w:sz w:val="24"/>
          <w:szCs w:val="24"/>
        </w:rPr>
        <w:t xml:space="preserve">(con </w:t>
      </w:r>
      <w:r w:rsidR="00972333" w:rsidRPr="00972333">
        <w:rPr>
          <w:sz w:val="24"/>
          <w:szCs w:val="24"/>
        </w:rPr>
        <w:t>Vittoria Brambilla e Beatrice Mautino)</w:t>
      </w:r>
      <w:r w:rsidR="00972333">
        <w:rPr>
          <w:sz w:val="24"/>
          <w:szCs w:val="24"/>
        </w:rPr>
        <w:t xml:space="preserve">; </w:t>
      </w:r>
      <w:r w:rsidR="00972333" w:rsidRPr="00972333">
        <w:rPr>
          <w:sz w:val="24"/>
          <w:szCs w:val="24"/>
        </w:rPr>
        <w:t>3 conferenze</w:t>
      </w:r>
      <w:r w:rsidR="00972333">
        <w:rPr>
          <w:sz w:val="24"/>
          <w:szCs w:val="24"/>
        </w:rPr>
        <w:t>; 1</w:t>
      </w:r>
      <w:r w:rsidR="00972333" w:rsidRPr="00972333">
        <w:rPr>
          <w:sz w:val="24"/>
          <w:szCs w:val="24"/>
        </w:rPr>
        <w:t xml:space="preserve"> tavola rotonda con i rappresentanti delle istituzioni europee, nazionali, regionali</w:t>
      </w:r>
      <w:r w:rsidR="00972333">
        <w:rPr>
          <w:sz w:val="24"/>
          <w:szCs w:val="24"/>
        </w:rPr>
        <w:t xml:space="preserve">. Sono stati coinvolti circa 1.300 studenti di tutte le fasce d’età. </w:t>
      </w:r>
      <w:r w:rsidR="002F3BF2">
        <w:rPr>
          <w:sz w:val="24"/>
          <w:szCs w:val="24"/>
        </w:rPr>
        <w:t>Oltre</w:t>
      </w:r>
      <w:r w:rsidR="00972333">
        <w:rPr>
          <w:sz w:val="24"/>
          <w:szCs w:val="24"/>
        </w:rPr>
        <w:t xml:space="preserve"> 300 persone </w:t>
      </w:r>
      <w:r w:rsidR="002F3BF2">
        <w:rPr>
          <w:sz w:val="24"/>
          <w:szCs w:val="24"/>
        </w:rPr>
        <w:t xml:space="preserve">hanno preso parte </w:t>
      </w:r>
      <w:r w:rsidR="00972333">
        <w:rPr>
          <w:sz w:val="24"/>
          <w:szCs w:val="24"/>
        </w:rPr>
        <w:t xml:space="preserve">alle conferenze nella sede della Camera di Commercio di Alessandria e Asti e a palazzo Borsalino, sede dell’Università del Piemonte Orientale. </w:t>
      </w:r>
    </w:p>
    <w:p w14:paraId="1E08CE06" w14:textId="77777777" w:rsidR="0090078E" w:rsidRDefault="0090078E" w:rsidP="00B341AF">
      <w:pPr>
        <w:jc w:val="both"/>
        <w:rPr>
          <w:sz w:val="24"/>
          <w:szCs w:val="24"/>
        </w:rPr>
      </w:pPr>
    </w:p>
    <w:p w14:paraId="7A1A2609" w14:textId="7BE89A4B" w:rsidR="00972333" w:rsidRPr="00972333" w:rsidRDefault="00972333" w:rsidP="00972333">
      <w:pPr>
        <w:jc w:val="both"/>
        <w:rPr>
          <w:sz w:val="24"/>
          <w:szCs w:val="24"/>
        </w:rPr>
      </w:pPr>
      <w:r>
        <w:rPr>
          <w:sz w:val="24"/>
          <w:szCs w:val="24"/>
        </w:rPr>
        <w:t xml:space="preserve">Sotto </w:t>
      </w:r>
      <w:r w:rsidR="004728EE">
        <w:rPr>
          <w:sz w:val="24"/>
          <w:szCs w:val="24"/>
        </w:rPr>
        <w:t xml:space="preserve">la direzione scientifica e moderazione di Frame Divagazioni Scientifiche sono stati affrontati temi </w:t>
      </w:r>
      <w:r>
        <w:rPr>
          <w:sz w:val="24"/>
          <w:szCs w:val="24"/>
        </w:rPr>
        <w:t xml:space="preserve">concreti, </w:t>
      </w:r>
      <w:r w:rsidR="004728EE">
        <w:rPr>
          <w:sz w:val="24"/>
          <w:szCs w:val="24"/>
        </w:rPr>
        <w:t xml:space="preserve">di grande attualità: </w:t>
      </w:r>
      <w:r>
        <w:rPr>
          <w:sz w:val="24"/>
          <w:szCs w:val="24"/>
        </w:rPr>
        <w:t>“</w:t>
      </w:r>
      <w:r w:rsidRPr="002F3BF2">
        <w:rPr>
          <w:i/>
          <w:iCs/>
          <w:sz w:val="24"/>
          <w:szCs w:val="24"/>
        </w:rPr>
        <w:t>Carbon farming, l'agricoltura come fabbrica di carbonio</w:t>
      </w:r>
      <w:r>
        <w:rPr>
          <w:sz w:val="24"/>
          <w:szCs w:val="24"/>
        </w:rPr>
        <w:t>” ossia la trasformazione d</w:t>
      </w:r>
      <w:r w:rsidRPr="00972333">
        <w:rPr>
          <w:sz w:val="24"/>
          <w:szCs w:val="24"/>
        </w:rPr>
        <w:t>i suoli agricoli in serbatoi attivi di anidride carbonica</w:t>
      </w:r>
      <w:r>
        <w:rPr>
          <w:sz w:val="24"/>
          <w:szCs w:val="24"/>
        </w:rPr>
        <w:t>, approfondendo le tecniche di su</w:t>
      </w:r>
      <w:r w:rsidRPr="00972333">
        <w:rPr>
          <w:sz w:val="24"/>
          <w:szCs w:val="24"/>
        </w:rPr>
        <w:t>l sequestro della CO₂ e sul mercato dei crediti di carbonio, tra certificazione dei servizi ecosistemici e nuove opportunità di reddito per le aziende.</w:t>
      </w:r>
      <w:r>
        <w:rPr>
          <w:sz w:val="24"/>
          <w:szCs w:val="24"/>
        </w:rPr>
        <w:t xml:space="preserve"> </w:t>
      </w:r>
      <w:r w:rsidR="0084525A">
        <w:rPr>
          <w:sz w:val="24"/>
          <w:szCs w:val="24"/>
        </w:rPr>
        <w:t xml:space="preserve">Al panel hanno partecipato Carlo Monferino di Anga, Francesca Dini di Pefc, Guido Lingua, direttore del Disit di Alessandria. </w:t>
      </w:r>
      <w:r>
        <w:rPr>
          <w:sz w:val="24"/>
          <w:szCs w:val="24"/>
        </w:rPr>
        <w:t>“</w:t>
      </w:r>
      <w:r w:rsidRPr="002F3BF2">
        <w:rPr>
          <w:i/>
          <w:iCs/>
          <w:sz w:val="24"/>
          <w:szCs w:val="24"/>
        </w:rPr>
        <w:t>TEA: novità nel campo della viticoltura</w:t>
      </w:r>
      <w:r>
        <w:rPr>
          <w:sz w:val="24"/>
          <w:szCs w:val="24"/>
        </w:rPr>
        <w:t>”</w:t>
      </w:r>
      <w:r w:rsidR="0084525A">
        <w:rPr>
          <w:sz w:val="24"/>
          <w:szCs w:val="24"/>
        </w:rPr>
        <w:t xml:space="preserve"> con Sara Zenoni dell’Università di Verone, Mauro Coatti di Syngenta Italia, Luca Brondelli di Brondello. Durante il dibattito è </w:t>
      </w:r>
      <w:r w:rsidR="002F3BF2">
        <w:rPr>
          <w:sz w:val="24"/>
          <w:szCs w:val="24"/>
        </w:rPr>
        <w:t>emerso l’auspicio</w:t>
      </w:r>
      <w:r w:rsidR="0084525A">
        <w:rPr>
          <w:sz w:val="24"/>
          <w:szCs w:val="24"/>
        </w:rPr>
        <w:t xml:space="preserve"> che </w:t>
      </w:r>
      <w:r w:rsidR="002F3BF2">
        <w:rPr>
          <w:sz w:val="24"/>
          <w:szCs w:val="24"/>
        </w:rPr>
        <w:t>gli studi e la sperimentazione sul</w:t>
      </w:r>
      <w:r w:rsidR="0084525A">
        <w:rPr>
          <w:sz w:val="24"/>
          <w:szCs w:val="24"/>
        </w:rPr>
        <w:t xml:space="preserve">l’editing genomico </w:t>
      </w:r>
      <w:r w:rsidR="002F3BF2">
        <w:rPr>
          <w:sz w:val="24"/>
          <w:szCs w:val="24"/>
        </w:rPr>
        <w:t>della</w:t>
      </w:r>
      <w:r w:rsidR="0084525A">
        <w:rPr>
          <w:sz w:val="24"/>
          <w:szCs w:val="24"/>
        </w:rPr>
        <w:t xml:space="preserve"> vite, in fase di sperimentazione all’Università di Verona</w:t>
      </w:r>
      <w:r w:rsidR="002F3BF2">
        <w:rPr>
          <w:sz w:val="24"/>
          <w:szCs w:val="24"/>
        </w:rPr>
        <w:t xml:space="preserve"> ma già in fase evoluta in altri Paesi</w:t>
      </w:r>
      <w:r w:rsidR="0084525A">
        <w:rPr>
          <w:sz w:val="24"/>
          <w:szCs w:val="24"/>
        </w:rPr>
        <w:t>, possa</w:t>
      </w:r>
      <w:r w:rsidR="002F3BF2">
        <w:rPr>
          <w:sz w:val="24"/>
          <w:szCs w:val="24"/>
        </w:rPr>
        <w:t>no</w:t>
      </w:r>
      <w:r w:rsidR="0084525A">
        <w:rPr>
          <w:sz w:val="24"/>
          <w:szCs w:val="24"/>
        </w:rPr>
        <w:t xml:space="preserve"> trovare spazio anche in Piemonte, dove è presente il centro studi del Crea. “</w:t>
      </w:r>
      <w:r w:rsidRPr="002F3BF2">
        <w:rPr>
          <w:i/>
          <w:iCs/>
          <w:sz w:val="24"/>
          <w:szCs w:val="24"/>
        </w:rPr>
        <w:t>Agricoltura, un futuro in cui credere</w:t>
      </w:r>
      <w:r w:rsidR="0084525A">
        <w:rPr>
          <w:sz w:val="24"/>
          <w:szCs w:val="24"/>
        </w:rPr>
        <w:t xml:space="preserve">”, una partecipata tavola rotonda durante la quale si è discusso delle strategie che le istituzioni possono mettere in campo per supportare </w:t>
      </w:r>
      <w:r w:rsidR="002F3BF2">
        <w:rPr>
          <w:sz w:val="24"/>
          <w:szCs w:val="24"/>
        </w:rPr>
        <w:t xml:space="preserve">concretamente l’imprenditoria e </w:t>
      </w:r>
      <w:r w:rsidR="0084525A">
        <w:rPr>
          <w:sz w:val="24"/>
          <w:szCs w:val="24"/>
        </w:rPr>
        <w:t xml:space="preserve">lo sviluppo settore primario, in una nuova ottica che non sia quella </w:t>
      </w:r>
      <w:r w:rsidR="002F3BF2">
        <w:rPr>
          <w:sz w:val="24"/>
          <w:szCs w:val="24"/>
        </w:rPr>
        <w:t xml:space="preserve">meramente </w:t>
      </w:r>
      <w:r w:rsidR="0084525A">
        <w:rPr>
          <w:sz w:val="24"/>
          <w:szCs w:val="24"/>
        </w:rPr>
        <w:t xml:space="preserve">assistenzialistica.  </w:t>
      </w:r>
    </w:p>
    <w:p w14:paraId="129F750E" w14:textId="4C70651E" w:rsidR="00972333" w:rsidRDefault="0084525A" w:rsidP="00972333">
      <w:pPr>
        <w:jc w:val="both"/>
        <w:rPr>
          <w:sz w:val="24"/>
          <w:szCs w:val="24"/>
        </w:rPr>
      </w:pPr>
      <w:r>
        <w:rPr>
          <w:sz w:val="24"/>
          <w:szCs w:val="24"/>
        </w:rPr>
        <w:t xml:space="preserve">Si è parlato infine di </w:t>
      </w:r>
      <w:r w:rsidR="00972333" w:rsidRPr="002F3BF2">
        <w:rPr>
          <w:i/>
          <w:iCs/>
          <w:sz w:val="24"/>
          <w:szCs w:val="24"/>
        </w:rPr>
        <w:t>sostenibilità in agricoltura</w:t>
      </w:r>
      <w:r w:rsidR="002F3BF2">
        <w:rPr>
          <w:sz w:val="24"/>
          <w:szCs w:val="24"/>
        </w:rPr>
        <w:t xml:space="preserve"> e il </w:t>
      </w:r>
      <w:r w:rsidR="00972333" w:rsidRPr="00972333">
        <w:rPr>
          <w:sz w:val="24"/>
          <w:szCs w:val="24"/>
        </w:rPr>
        <w:t>ruolo dei giovani</w:t>
      </w:r>
      <w:r w:rsidR="002F3BF2">
        <w:rPr>
          <w:sz w:val="24"/>
          <w:szCs w:val="24"/>
        </w:rPr>
        <w:t xml:space="preserve"> per passare, oggi, ad una fase di i</w:t>
      </w:r>
      <w:r w:rsidR="00972333" w:rsidRPr="00972333">
        <w:rPr>
          <w:sz w:val="24"/>
          <w:szCs w:val="24"/>
        </w:rPr>
        <w:t>nnovazione</w:t>
      </w:r>
      <w:r w:rsidR="002F3BF2">
        <w:rPr>
          <w:sz w:val="24"/>
          <w:szCs w:val="24"/>
        </w:rPr>
        <w:t xml:space="preserve">, sostenendo </w:t>
      </w:r>
      <w:r w:rsidR="00972333" w:rsidRPr="00972333">
        <w:rPr>
          <w:sz w:val="24"/>
          <w:szCs w:val="24"/>
        </w:rPr>
        <w:t>nuov</w:t>
      </w:r>
      <w:r w:rsidR="002F3BF2">
        <w:rPr>
          <w:sz w:val="24"/>
          <w:szCs w:val="24"/>
        </w:rPr>
        <w:t>e</w:t>
      </w:r>
      <w:r w:rsidR="00972333" w:rsidRPr="00972333">
        <w:rPr>
          <w:sz w:val="24"/>
          <w:szCs w:val="24"/>
        </w:rPr>
        <w:t xml:space="preserve"> lev</w:t>
      </w:r>
      <w:r w:rsidR="002F3BF2">
        <w:rPr>
          <w:sz w:val="24"/>
          <w:szCs w:val="24"/>
        </w:rPr>
        <w:t>e</w:t>
      </w:r>
      <w:r w:rsidR="00972333" w:rsidRPr="00972333">
        <w:rPr>
          <w:sz w:val="24"/>
          <w:szCs w:val="24"/>
        </w:rPr>
        <w:t xml:space="preserve"> imprenditorial</w:t>
      </w:r>
      <w:r w:rsidR="002F3BF2">
        <w:rPr>
          <w:sz w:val="24"/>
          <w:szCs w:val="24"/>
        </w:rPr>
        <w:t>i</w:t>
      </w:r>
      <w:r w:rsidR="00972333" w:rsidRPr="00972333">
        <w:rPr>
          <w:sz w:val="24"/>
          <w:szCs w:val="24"/>
        </w:rPr>
        <w:t xml:space="preserve"> alla guida della transizione ecologica</w:t>
      </w:r>
      <w:r w:rsidR="002F3BF2">
        <w:rPr>
          <w:sz w:val="24"/>
          <w:szCs w:val="24"/>
        </w:rPr>
        <w:t>, con gli interventi di Giuseppe Concaro, Francesco Crocco di Mondelez International, il giornalista Tommaso Cinquemani.</w:t>
      </w:r>
    </w:p>
    <w:p w14:paraId="4CBC14FB" w14:textId="77777777" w:rsidR="00C97ED8" w:rsidRDefault="00C97ED8" w:rsidP="00B341AF">
      <w:pPr>
        <w:jc w:val="both"/>
        <w:rPr>
          <w:sz w:val="24"/>
          <w:szCs w:val="24"/>
        </w:rPr>
      </w:pPr>
    </w:p>
    <w:p w14:paraId="7FA27110" w14:textId="0BEDE4F3" w:rsidR="00C97ED8" w:rsidRPr="002F3BF2" w:rsidRDefault="00C97ED8" w:rsidP="00630C54">
      <w:pPr>
        <w:jc w:val="both"/>
        <w:rPr>
          <w:i/>
          <w:iCs/>
          <w:sz w:val="22"/>
          <w:szCs w:val="22"/>
        </w:rPr>
      </w:pPr>
      <w:r w:rsidRPr="002F3BF2">
        <w:rPr>
          <w:i/>
          <w:iCs/>
          <w:sz w:val="22"/>
          <w:szCs w:val="22"/>
        </w:rPr>
        <w:t>Il Food&amp;Science Festival Lab Alessandria 202</w:t>
      </w:r>
      <w:r w:rsidR="002F3BF2" w:rsidRPr="002F3BF2">
        <w:rPr>
          <w:i/>
          <w:iCs/>
          <w:sz w:val="22"/>
          <w:szCs w:val="22"/>
        </w:rPr>
        <w:t>6</w:t>
      </w:r>
      <w:r w:rsidRPr="002F3BF2">
        <w:rPr>
          <w:i/>
          <w:iCs/>
          <w:sz w:val="22"/>
          <w:szCs w:val="22"/>
        </w:rPr>
        <w:t xml:space="preserve"> è stato organizzato da Confagricoltura Alessandria, Anga Alessandria, Agriturist Alessandria. Ideazione e direzione scientifica: Frame Divagazioni Scientifiche. </w:t>
      </w:r>
    </w:p>
    <w:p w14:paraId="06B635D6" w14:textId="4934E1F2" w:rsidR="00C97ED8" w:rsidRPr="002F3BF2" w:rsidRDefault="00C97ED8" w:rsidP="00630C54">
      <w:pPr>
        <w:jc w:val="both"/>
        <w:rPr>
          <w:i/>
          <w:iCs/>
          <w:sz w:val="22"/>
          <w:szCs w:val="22"/>
        </w:rPr>
      </w:pPr>
      <w:r w:rsidRPr="002F3BF2">
        <w:rPr>
          <w:i/>
          <w:iCs/>
          <w:sz w:val="22"/>
          <w:szCs w:val="22"/>
        </w:rPr>
        <w:t>Hanno collaborato all’edizione 202</w:t>
      </w:r>
      <w:r w:rsidR="002F3BF2">
        <w:rPr>
          <w:i/>
          <w:iCs/>
          <w:sz w:val="22"/>
          <w:szCs w:val="22"/>
        </w:rPr>
        <w:t>6</w:t>
      </w:r>
      <w:r w:rsidRPr="002F3BF2">
        <w:rPr>
          <w:i/>
          <w:iCs/>
          <w:sz w:val="22"/>
          <w:szCs w:val="22"/>
        </w:rPr>
        <w:t xml:space="preserve">: Fondazione Cassa di Risparmio di Alessandria, Comune di Alessandria, Camera di Commercio Alessandria-Asti, Fondazione Cassa di Risparmio di Tortona. </w:t>
      </w:r>
    </w:p>
    <w:p w14:paraId="6861DF5A" w14:textId="47D9C661" w:rsidR="00C97ED8" w:rsidRPr="002F3BF2" w:rsidRDefault="00C97ED8" w:rsidP="00630C54">
      <w:pPr>
        <w:jc w:val="both"/>
        <w:rPr>
          <w:i/>
          <w:iCs/>
          <w:sz w:val="22"/>
          <w:szCs w:val="22"/>
        </w:rPr>
      </w:pPr>
      <w:r w:rsidRPr="002F3BF2">
        <w:rPr>
          <w:i/>
          <w:iCs/>
          <w:sz w:val="22"/>
          <w:szCs w:val="22"/>
        </w:rPr>
        <w:lastRenderedPageBreak/>
        <w:t xml:space="preserve">Sponsor: </w:t>
      </w:r>
      <w:r w:rsidR="002F3BF2">
        <w:rPr>
          <w:i/>
          <w:iCs/>
          <w:sz w:val="22"/>
          <w:szCs w:val="22"/>
        </w:rPr>
        <w:t>Mondelez International</w:t>
      </w:r>
      <w:r w:rsidRPr="002F3BF2">
        <w:rPr>
          <w:i/>
          <w:iCs/>
          <w:sz w:val="22"/>
          <w:szCs w:val="22"/>
        </w:rPr>
        <w:t>, Syngenta, Umana</w:t>
      </w:r>
      <w:r w:rsidR="002F3BF2">
        <w:rPr>
          <w:i/>
          <w:iCs/>
          <w:sz w:val="22"/>
          <w:szCs w:val="22"/>
        </w:rPr>
        <w:t>, Pefc</w:t>
      </w:r>
      <w:r w:rsidRPr="002F3BF2">
        <w:rPr>
          <w:i/>
          <w:iCs/>
          <w:sz w:val="22"/>
          <w:szCs w:val="22"/>
        </w:rPr>
        <w:t>; sponsor tecnici: Alexala, Derthona Basket, Confesercenti, Confcommercio, Associazione Cultura e Sviluppo, Ottobre Alessandrino</w:t>
      </w:r>
      <w:r w:rsidR="002F3BF2">
        <w:rPr>
          <w:i/>
          <w:iCs/>
          <w:sz w:val="22"/>
          <w:szCs w:val="22"/>
        </w:rPr>
        <w:t>, Fondazione Acos per l’ambiente.</w:t>
      </w:r>
    </w:p>
    <w:p w14:paraId="0DC27B42" w14:textId="77777777" w:rsidR="00C97ED8" w:rsidRPr="002F3BF2" w:rsidRDefault="00C97ED8" w:rsidP="00630C54">
      <w:pPr>
        <w:jc w:val="both"/>
        <w:rPr>
          <w:i/>
          <w:iCs/>
          <w:sz w:val="22"/>
          <w:szCs w:val="22"/>
        </w:rPr>
      </w:pPr>
      <w:r w:rsidRPr="002F3BF2">
        <w:rPr>
          <w:i/>
          <w:iCs/>
          <w:sz w:val="22"/>
          <w:szCs w:val="22"/>
        </w:rPr>
        <w:t xml:space="preserve">Partner istituzionali: Regione Piemonte, Provincia di Alessandria, Comune di Acqui Terme, Camune di Casale Monferrato, Comune di Gamalero, Comune di Gavi, Comune di Novi Ligure, Comune di Ovada, Comune di Tortona, Comune di Volpedo, Asl Alessandria, Aou-AL, Confindustria Alessandria, Fondazione Viva, Università del Piemonte Orientale. </w:t>
      </w:r>
    </w:p>
    <w:p w14:paraId="01D87735" w14:textId="77777777" w:rsidR="00C97ED8" w:rsidRPr="002F3BF2" w:rsidRDefault="00C97ED8" w:rsidP="00B341AF">
      <w:pPr>
        <w:jc w:val="both"/>
        <w:rPr>
          <w:sz w:val="22"/>
          <w:szCs w:val="22"/>
        </w:rPr>
      </w:pPr>
    </w:p>
    <w:sectPr w:rsidR="00C97ED8" w:rsidRPr="002F3BF2" w:rsidSect="004578D3">
      <w:pgSz w:w="11906" w:h="16838"/>
      <w:pgMar w:top="1135"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8EE"/>
    <w:rsid w:val="00110EDA"/>
    <w:rsid w:val="00165F6C"/>
    <w:rsid w:val="002F3BF2"/>
    <w:rsid w:val="00411175"/>
    <w:rsid w:val="0041683B"/>
    <w:rsid w:val="004578D3"/>
    <w:rsid w:val="004728EE"/>
    <w:rsid w:val="00486EF0"/>
    <w:rsid w:val="00501BE3"/>
    <w:rsid w:val="00576105"/>
    <w:rsid w:val="00630C54"/>
    <w:rsid w:val="007247BD"/>
    <w:rsid w:val="0084525A"/>
    <w:rsid w:val="0090078E"/>
    <w:rsid w:val="009363AC"/>
    <w:rsid w:val="00972333"/>
    <w:rsid w:val="0097753D"/>
    <w:rsid w:val="00AB3499"/>
    <w:rsid w:val="00B341AF"/>
    <w:rsid w:val="00BE27F9"/>
    <w:rsid w:val="00C2297D"/>
    <w:rsid w:val="00C97ED8"/>
    <w:rsid w:val="00FC65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43D76"/>
  <w15:chartTrackingRefBased/>
  <w15:docId w15:val="{AA12AC7D-35F1-4A77-9C62-26C4FB6BC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11175"/>
  </w:style>
  <w:style w:type="paragraph" w:styleId="Titolo1">
    <w:name w:val="heading 1"/>
    <w:basedOn w:val="Normale"/>
    <w:next w:val="Normale"/>
    <w:link w:val="Titolo1Carattere"/>
    <w:qFormat/>
    <w:rsid w:val="00411175"/>
    <w:pPr>
      <w:keepNext/>
      <w:spacing w:line="360" w:lineRule="auto"/>
      <w:outlineLvl w:val="0"/>
    </w:pPr>
    <w:rPr>
      <w:rFonts w:ascii="Tahoma" w:hAnsi="Tahoma" w:cs="Tahoma"/>
      <w:i/>
      <w:sz w:val="24"/>
      <w:szCs w:val="24"/>
    </w:rPr>
  </w:style>
  <w:style w:type="paragraph" w:styleId="Titolo2">
    <w:name w:val="heading 2"/>
    <w:basedOn w:val="Normale"/>
    <w:next w:val="Normale"/>
    <w:link w:val="Titolo2Carattere"/>
    <w:qFormat/>
    <w:rsid w:val="00411175"/>
    <w:pPr>
      <w:keepNext/>
      <w:spacing w:line="480" w:lineRule="auto"/>
      <w:outlineLvl w:val="1"/>
    </w:pPr>
    <w:rPr>
      <w:rFonts w:ascii="Tahoma" w:hAnsi="Tahoma" w:cs="Tahoma"/>
      <w:b/>
      <w:bCs/>
      <w:i/>
      <w:sz w:val="24"/>
      <w:szCs w:val="24"/>
    </w:rPr>
  </w:style>
  <w:style w:type="paragraph" w:styleId="Titolo3">
    <w:name w:val="heading 3"/>
    <w:basedOn w:val="Normale"/>
    <w:next w:val="Normale"/>
    <w:link w:val="Titolo3Carattere"/>
    <w:qFormat/>
    <w:rsid w:val="00411175"/>
    <w:pPr>
      <w:keepNext/>
      <w:jc w:val="center"/>
      <w:outlineLvl w:val="2"/>
    </w:pPr>
    <w:rPr>
      <w:rFonts w:ascii="Arial" w:hAnsi="Arial" w:cs="Arial"/>
      <w:b/>
      <w:sz w:val="24"/>
      <w:szCs w:val="24"/>
    </w:rPr>
  </w:style>
  <w:style w:type="paragraph" w:styleId="Titolo4">
    <w:name w:val="heading 4"/>
    <w:basedOn w:val="Normale"/>
    <w:next w:val="Normale"/>
    <w:link w:val="Titolo4Carattere"/>
    <w:qFormat/>
    <w:rsid w:val="00411175"/>
    <w:pPr>
      <w:keepNext/>
      <w:jc w:val="center"/>
      <w:outlineLvl w:val="3"/>
    </w:pPr>
    <w:rPr>
      <w:rFonts w:ascii="Arial" w:hAnsi="Arial" w:cs="Arial"/>
      <w:sz w:val="24"/>
      <w:szCs w:val="24"/>
    </w:rPr>
  </w:style>
  <w:style w:type="paragraph" w:styleId="Titolo5">
    <w:name w:val="heading 5"/>
    <w:basedOn w:val="Normale"/>
    <w:next w:val="Normale"/>
    <w:link w:val="Titolo5Carattere"/>
    <w:semiHidden/>
    <w:unhideWhenUsed/>
    <w:qFormat/>
    <w:rsid w:val="004728EE"/>
    <w:pPr>
      <w:keepNext/>
      <w:keepLines/>
      <w:spacing w:before="80" w:after="40"/>
      <w:outlineLvl w:val="4"/>
    </w:pPr>
    <w:rPr>
      <w:rFonts w:asciiTheme="minorHAnsi" w:eastAsiaTheme="majorEastAsia" w:hAnsiTheme="minorHAnsi" w:cstheme="majorBidi"/>
      <w:color w:val="365F91" w:themeColor="accent1" w:themeShade="BF"/>
    </w:rPr>
  </w:style>
  <w:style w:type="paragraph" w:styleId="Titolo6">
    <w:name w:val="heading 6"/>
    <w:basedOn w:val="Normale"/>
    <w:next w:val="Normale"/>
    <w:link w:val="Titolo6Carattere"/>
    <w:semiHidden/>
    <w:unhideWhenUsed/>
    <w:qFormat/>
    <w:rsid w:val="004728EE"/>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semiHidden/>
    <w:unhideWhenUsed/>
    <w:qFormat/>
    <w:rsid w:val="004728EE"/>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semiHidden/>
    <w:unhideWhenUsed/>
    <w:qFormat/>
    <w:rsid w:val="004728EE"/>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semiHidden/>
    <w:unhideWhenUsed/>
    <w:qFormat/>
    <w:rsid w:val="004728EE"/>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486EF0"/>
    <w:rPr>
      <w:rFonts w:ascii="Tahoma" w:hAnsi="Tahoma" w:cs="Tahoma"/>
      <w:i/>
      <w:sz w:val="24"/>
      <w:szCs w:val="24"/>
    </w:rPr>
  </w:style>
  <w:style w:type="character" w:customStyle="1" w:styleId="Titolo2Carattere">
    <w:name w:val="Titolo 2 Carattere"/>
    <w:basedOn w:val="Carpredefinitoparagrafo"/>
    <w:link w:val="Titolo2"/>
    <w:rsid w:val="00486EF0"/>
    <w:rPr>
      <w:rFonts w:ascii="Tahoma" w:hAnsi="Tahoma" w:cs="Tahoma"/>
      <w:b/>
      <w:bCs/>
      <w:i/>
      <w:sz w:val="24"/>
      <w:szCs w:val="24"/>
    </w:rPr>
  </w:style>
  <w:style w:type="character" w:customStyle="1" w:styleId="Titolo3Carattere">
    <w:name w:val="Titolo 3 Carattere"/>
    <w:basedOn w:val="Carpredefinitoparagrafo"/>
    <w:link w:val="Titolo3"/>
    <w:rsid w:val="00486EF0"/>
    <w:rPr>
      <w:rFonts w:ascii="Arial" w:hAnsi="Arial" w:cs="Arial"/>
      <w:b/>
      <w:sz w:val="24"/>
      <w:szCs w:val="24"/>
    </w:rPr>
  </w:style>
  <w:style w:type="character" w:customStyle="1" w:styleId="Titolo4Carattere">
    <w:name w:val="Titolo 4 Carattere"/>
    <w:basedOn w:val="Carpredefinitoparagrafo"/>
    <w:link w:val="Titolo4"/>
    <w:rsid w:val="00486EF0"/>
    <w:rPr>
      <w:rFonts w:ascii="Arial" w:hAnsi="Arial" w:cs="Arial"/>
      <w:sz w:val="24"/>
      <w:szCs w:val="24"/>
    </w:rPr>
  </w:style>
  <w:style w:type="paragraph" w:styleId="Titolo">
    <w:name w:val="Title"/>
    <w:basedOn w:val="Normale"/>
    <w:next w:val="Sottotitolo"/>
    <w:link w:val="TitoloCarattere"/>
    <w:qFormat/>
    <w:rsid w:val="00411175"/>
    <w:pPr>
      <w:widowControl w:val="0"/>
      <w:suppressAutoHyphens/>
      <w:jc w:val="center"/>
    </w:pPr>
    <w:rPr>
      <w:rFonts w:ascii="Arial" w:hAnsi="Arial" w:cs="Arial"/>
      <w:b/>
      <w:bCs/>
      <w:sz w:val="24"/>
      <w:u w:val="single"/>
    </w:rPr>
  </w:style>
  <w:style w:type="character" w:customStyle="1" w:styleId="TitoloCarattere">
    <w:name w:val="Titolo Carattere"/>
    <w:basedOn w:val="Carpredefinitoparagrafo"/>
    <w:link w:val="Titolo"/>
    <w:rsid w:val="00486EF0"/>
    <w:rPr>
      <w:rFonts w:ascii="Arial" w:hAnsi="Arial" w:cs="Arial"/>
      <w:b/>
      <w:bCs/>
      <w:sz w:val="24"/>
      <w:u w:val="single"/>
    </w:rPr>
  </w:style>
  <w:style w:type="paragraph" w:styleId="Sottotitolo">
    <w:name w:val="Subtitle"/>
    <w:basedOn w:val="Normale"/>
    <w:link w:val="SottotitoloCarattere"/>
    <w:qFormat/>
    <w:rsid w:val="00411175"/>
    <w:pPr>
      <w:spacing w:after="60"/>
      <w:jc w:val="center"/>
      <w:outlineLvl w:val="1"/>
    </w:pPr>
    <w:rPr>
      <w:rFonts w:ascii="Arial" w:eastAsiaTheme="majorEastAsia" w:hAnsi="Arial" w:cs="Arial"/>
      <w:sz w:val="24"/>
      <w:szCs w:val="24"/>
    </w:rPr>
  </w:style>
  <w:style w:type="character" w:customStyle="1" w:styleId="SottotitoloCarattere">
    <w:name w:val="Sottotitolo Carattere"/>
    <w:basedOn w:val="Carpredefinitoparagrafo"/>
    <w:link w:val="Sottotitolo"/>
    <w:rsid w:val="00486EF0"/>
    <w:rPr>
      <w:rFonts w:ascii="Arial" w:eastAsiaTheme="majorEastAsia" w:hAnsi="Arial" w:cs="Arial"/>
      <w:sz w:val="24"/>
      <w:szCs w:val="24"/>
    </w:rPr>
  </w:style>
  <w:style w:type="paragraph" w:styleId="Nessunaspaziatura">
    <w:name w:val="No Spacing"/>
    <w:uiPriority w:val="1"/>
    <w:qFormat/>
    <w:rsid w:val="00486EF0"/>
  </w:style>
  <w:style w:type="character" w:styleId="Enfasigrassetto">
    <w:name w:val="Strong"/>
    <w:basedOn w:val="Carpredefinitoparagrafo"/>
    <w:uiPriority w:val="22"/>
    <w:qFormat/>
    <w:rsid w:val="00411175"/>
    <w:rPr>
      <w:b/>
      <w:bCs/>
    </w:rPr>
  </w:style>
  <w:style w:type="character" w:styleId="Enfasicorsivo">
    <w:name w:val="Emphasis"/>
    <w:basedOn w:val="Carpredefinitoparagrafo"/>
    <w:uiPriority w:val="20"/>
    <w:qFormat/>
    <w:rsid w:val="00411175"/>
    <w:rPr>
      <w:i/>
      <w:iCs/>
    </w:rPr>
  </w:style>
  <w:style w:type="character" w:customStyle="1" w:styleId="Titolo5Carattere">
    <w:name w:val="Titolo 5 Carattere"/>
    <w:basedOn w:val="Carpredefinitoparagrafo"/>
    <w:link w:val="Titolo5"/>
    <w:semiHidden/>
    <w:rsid w:val="004728EE"/>
    <w:rPr>
      <w:rFonts w:asciiTheme="minorHAnsi" w:eastAsiaTheme="majorEastAsia" w:hAnsiTheme="minorHAnsi" w:cstheme="majorBidi"/>
      <w:color w:val="365F91" w:themeColor="accent1" w:themeShade="BF"/>
    </w:rPr>
  </w:style>
  <w:style w:type="character" w:customStyle="1" w:styleId="Titolo6Carattere">
    <w:name w:val="Titolo 6 Carattere"/>
    <w:basedOn w:val="Carpredefinitoparagrafo"/>
    <w:link w:val="Titolo6"/>
    <w:semiHidden/>
    <w:rsid w:val="004728EE"/>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semiHidden/>
    <w:rsid w:val="004728EE"/>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semiHidden/>
    <w:rsid w:val="004728EE"/>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semiHidden/>
    <w:rsid w:val="004728EE"/>
    <w:rPr>
      <w:rFonts w:asciiTheme="minorHAnsi" w:eastAsiaTheme="majorEastAsia" w:hAnsiTheme="minorHAnsi" w:cstheme="majorBidi"/>
      <w:color w:val="272727" w:themeColor="text1" w:themeTint="D8"/>
    </w:rPr>
  </w:style>
  <w:style w:type="paragraph" w:styleId="Citazione">
    <w:name w:val="Quote"/>
    <w:basedOn w:val="Normale"/>
    <w:next w:val="Normale"/>
    <w:link w:val="CitazioneCarattere"/>
    <w:uiPriority w:val="29"/>
    <w:qFormat/>
    <w:rsid w:val="004728EE"/>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4728EE"/>
    <w:rPr>
      <w:i/>
      <w:iCs/>
      <w:color w:val="404040" w:themeColor="text1" w:themeTint="BF"/>
    </w:rPr>
  </w:style>
  <w:style w:type="paragraph" w:styleId="Paragrafoelenco">
    <w:name w:val="List Paragraph"/>
    <w:basedOn w:val="Normale"/>
    <w:uiPriority w:val="34"/>
    <w:qFormat/>
    <w:rsid w:val="004728EE"/>
    <w:pPr>
      <w:ind w:left="720"/>
      <w:contextualSpacing/>
    </w:pPr>
  </w:style>
  <w:style w:type="character" w:styleId="Enfasiintensa">
    <w:name w:val="Intense Emphasis"/>
    <w:basedOn w:val="Carpredefinitoparagrafo"/>
    <w:uiPriority w:val="21"/>
    <w:qFormat/>
    <w:rsid w:val="004728EE"/>
    <w:rPr>
      <w:i/>
      <w:iCs/>
      <w:color w:val="365F91" w:themeColor="accent1" w:themeShade="BF"/>
    </w:rPr>
  </w:style>
  <w:style w:type="paragraph" w:styleId="Citazioneintensa">
    <w:name w:val="Intense Quote"/>
    <w:basedOn w:val="Normale"/>
    <w:next w:val="Normale"/>
    <w:link w:val="CitazioneintensaCarattere"/>
    <w:uiPriority w:val="30"/>
    <w:qFormat/>
    <w:rsid w:val="004728E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4728EE"/>
    <w:rPr>
      <w:i/>
      <w:iCs/>
      <w:color w:val="365F91" w:themeColor="accent1" w:themeShade="BF"/>
    </w:rPr>
  </w:style>
  <w:style w:type="character" w:styleId="Riferimentointenso">
    <w:name w:val="Intense Reference"/>
    <w:basedOn w:val="Carpredefinitoparagrafo"/>
    <w:uiPriority w:val="32"/>
    <w:qFormat/>
    <w:rsid w:val="004728EE"/>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630</Words>
  <Characters>3595</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sede-ufficiostampa</dc:creator>
  <cp:keywords/>
  <dc:description/>
  <cp:lastModifiedBy>sede-ufficiostampa</cp:lastModifiedBy>
  <cp:revision>3</cp:revision>
  <dcterms:created xsi:type="dcterms:W3CDTF">2026-10-26T10:15:00Z</dcterms:created>
  <dcterms:modified xsi:type="dcterms:W3CDTF">2026-10-26T10:43:00Z</dcterms:modified>
</cp:coreProperties>
</file>